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rPr>
          <w:rFonts w:ascii="Calibri" w:cs="Calibri" w:eastAsia="Calibri" w:hAnsi="Calibri"/>
          <w:b/>
          <w:bCs/>
          <w:color w:val="0A1628"/>
          <w:sz w:val="56"/>
          <w:szCs w:val="56"/>
        </w:rPr>
        <w:t xml:space="preserve">Amr Sarhan</w:t>
      </w:r>
    </w:p>
    <w:p>
      <w:pPr>
        <w:pBdr>
          <w:bottom w:val="single" w:color="C9A84C" w:sz="8"/>
        </w:pBdr>
        <w:spacing w:after="40" w:before="40"/>
      </w:pPr>
    </w:p>
    <w:p>
      <w:pPr>
        <w:spacing w:after="80" w:before="60"/>
      </w:pPr>
      <w:r>
        <w:rPr>
          <w:rFonts w:ascii="Calibri" w:cs="Calibri" w:eastAsia="Calibri" w:hAnsi="Calibri"/>
          <w:color w:val="3A4F6A"/>
          <w:spacing w:val="60"/>
          <w:sz w:val="20"/>
          <w:szCs w:val="20"/>
        </w:rPr>
        <w:t xml:space="preserve">BUSINESS INTELLIGENCE MANAGER  ·  DATA ARCHITECTURE ADVISOR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6"/>
      </w:tblGrid>
      <w:tr>
        <w:tc>
          <w:tcPr>
            <w:tcW w:type="dxa" w:w="18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6F869E"/>
                <w:sz w:val="16"/>
                <w:szCs w:val="16"/>
              </w:rPr>
              <w:t xml:space="preserve">✉  Asarhan@mail.com</w:t>
            </w:r>
          </w:p>
        </w:tc>
        <w:tc>
          <w:tcPr>
            <w:tcW w:type="dxa" w:w="18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6F869E"/>
                <w:sz w:val="16"/>
                <w:szCs w:val="16"/>
              </w:rPr>
              <w:t xml:space="preserve">✆  (+966) 540-49-6811</w:t>
            </w:r>
          </w:p>
        </w:tc>
        <w:tc>
          <w:tcPr>
            <w:tcW w:type="dxa" w:w="18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6F869E"/>
                <w:sz w:val="16"/>
                <w:szCs w:val="16"/>
              </w:rPr>
              <w:t xml:space="preserve">⊕  Riyadh, Saudi Arabia</w:t>
            </w:r>
          </w:p>
        </w:tc>
        <w:tc>
          <w:tcPr>
            <w:tcW w:type="dxa" w:w="18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6F869E"/>
                <w:sz w:val="16"/>
                <w:szCs w:val="16"/>
              </w:rPr>
              <w:t xml:space="preserve">in  linkedin.com/in/amsarhan</w:t>
            </w:r>
          </w:p>
        </w:tc>
        <w:tc>
          <w:tcPr>
            <w:tcW w:type="dxa" w:w="18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6F869E"/>
                <w:sz w:val="16"/>
                <w:szCs w:val="16"/>
              </w:rPr>
              <w:t xml:space="preserve">⌂  amrsarhan.com</w:t>
            </w:r>
          </w:p>
        </w:tc>
      </w:tr>
    </w:tbl>
    <w:p>
      <w:pPr>
        <w:spacing w:after="60" w:before="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A4F6A"/>
          <w:sz w:val="20"/>
          <w:szCs w:val="20"/>
        </w:rPr>
        <w:t xml:space="preserve"/>
      </w:r>
    </w:p>
    <w:p>
      <w:pPr>
        <w:pBdr>
          <w:bottom w:val="single" w:color="DCE6F0" w:sz="2"/>
        </w:pBdr>
        <w:spacing w:after="20" w:before="20"/>
      </w:pPr>
    </w:p>
    <w:p>
      <w:pPr>
        <w:spacing w:after="40" w:before="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A4F6A"/>
          <w:sz w:val="20"/>
          <w:szCs w:val="20"/>
        </w:rPr>
        <w:t xml:space="preserve"/>
      </w:r>
    </w:p>
    <w:p>
      <w:pPr>
        <w:spacing w:after="60" w:before="160"/>
      </w:pPr>
      <w:r>
        <w:rPr>
          <w:rFonts w:ascii="Calibri" w:cs="Calibri" w:eastAsia="Calibri" w:hAnsi="Calibri"/>
          <w:color w:val="C9A84C"/>
          <w:sz w:val="18"/>
          <w:szCs w:val="18"/>
        </w:rPr>
        <w:t xml:space="preserve">▌ </w:t>
      </w:r>
      <w:r>
        <w:rPr>
          <w:rFonts w:ascii="Calibri" w:cs="Calibri" w:eastAsia="Calibri" w:hAnsi="Calibri"/>
          <w:b/>
          <w:bCs/>
          <w:color w:val="1A7A6E"/>
          <w:spacing w:val="80"/>
          <w:sz w:val="16"/>
          <w:szCs w:val="16"/>
        </w:rPr>
        <w:t xml:space="preserve">PROFESSIONAL SUMMARY</w:t>
      </w:r>
    </w:p>
    <w:p>
      <w:pPr>
        <w:spacing w:after="80" w:before="60"/>
        <w:jc w:val="both"/>
      </w:pPr>
      <w:r>
        <w:rPr>
          <w:rFonts w:ascii="Calibri" w:cs="Calibri" w:eastAsia="Calibri" w:hAnsi="Calibri"/>
          <w:color w:val="3A4F6A"/>
          <w:sz w:val="19"/>
          <w:szCs w:val="19"/>
        </w:rPr>
        <w:t xml:space="preserve">Innovative Leader and Architect with </w:t>
      </w:r>
      <w:r>
        <w:rPr>
          <w:rFonts w:ascii="Calibri" w:cs="Calibri" w:eastAsia="Calibri" w:hAnsi="Calibri"/>
          <w:b/>
          <w:bCs/>
          <w:color w:val="0A1628"/>
          <w:sz w:val="19"/>
          <w:szCs w:val="19"/>
        </w:rPr>
        <w:t xml:space="preserve">20+ years of expertise</w:t>
      </w:r>
      <w:r>
        <w:rPr>
          <w:rFonts w:ascii="Calibri" w:cs="Calibri" w:eastAsia="Calibri" w:hAnsi="Calibri"/>
          <w:color w:val="3A4F6A"/>
          <w:sz w:val="19"/>
          <w:szCs w:val="19"/>
        </w:rPr>
        <w:t xml:space="preserve"> in Data Platforms, Business Intelligence, and Analytics across Banking, Government, Technology Consulting, and Enterprise ERP sectors. Proven track record of architecting end-to-end enterprise analytics ecosystems — from Data Warehouse design and ETL pipeline engineering to executive dashboards and data governance frameworks. Currently leading BI operations at </w:t>
      </w:r>
      <w:r>
        <w:rPr>
          <w:rFonts w:ascii="Calibri" w:cs="Calibri" w:eastAsia="Calibri" w:hAnsi="Calibri"/>
          <w:b/>
          <w:bCs/>
          <w:color w:val="0A1628"/>
          <w:sz w:val="19"/>
          <w:szCs w:val="19"/>
        </w:rPr>
        <w:t xml:space="preserve">Alinma Bank</w:t>
      </w:r>
      <w:r>
        <w:rPr>
          <w:rFonts w:ascii="Calibri" w:cs="Calibri" w:eastAsia="Calibri" w:hAnsi="Calibri"/>
          <w:color w:val="3A4F6A"/>
          <w:sz w:val="19"/>
          <w:szCs w:val="19"/>
        </w:rPr>
        <w:t xml:space="preserve">, one of Saudi Arabia's leading Islamic banks, driving data-driven decision-making across retail, corporate, and operations divisions.</w:t>
      </w:r>
    </w:p>
    <w:p>
      <w:pPr>
        <w:pBdr>
          <w:bottom w:val="single" w:color="DCE6F0" w:sz="2"/>
        </w:pBdr>
        <w:spacing w:after="20" w:before="20"/>
      </w:pPr>
    </w:p>
    <w:p>
      <w:pPr>
        <w:spacing w:after="60" w:before="160"/>
      </w:pPr>
      <w:r>
        <w:rPr>
          <w:rFonts w:ascii="Calibri" w:cs="Calibri" w:eastAsia="Calibri" w:hAnsi="Calibri"/>
          <w:color w:val="C9A84C"/>
          <w:sz w:val="18"/>
          <w:szCs w:val="18"/>
        </w:rPr>
        <w:t xml:space="preserve">▌ </w:t>
      </w:r>
      <w:r>
        <w:rPr>
          <w:rFonts w:ascii="Calibri" w:cs="Calibri" w:eastAsia="Calibri" w:hAnsi="Calibri"/>
          <w:b/>
          <w:bCs/>
          <w:color w:val="1A7A6E"/>
          <w:spacing w:val="80"/>
          <w:sz w:val="16"/>
          <w:szCs w:val="16"/>
        </w:rPr>
        <w:t xml:space="preserve">WORK EXPERIENCE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500"/>
        <w:gridCol w:w="3526"/>
      </w:tblGrid>
      <w:tr>
        <w:tc>
          <w:tcPr>
            <w:tcW w:type="dxa" w:w="5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7A6E"/>
                <w:sz w:val="19"/>
                <w:szCs w:val="19"/>
              </w:rPr>
              <w:t xml:space="preserve">ALINMA BANK</w:t>
            </w:r>
            <w:r>
              <w:rPr>
                <w:rFonts w:ascii="Calibri" w:cs="Calibri" w:eastAsia="Calibri" w:hAnsi="Calibri"/>
                <w:color w:val="6F869E"/>
                <w:sz w:val="17"/>
                <w:szCs w:val="17"/>
              </w:rPr>
              <w:t xml:space="preserve">  ·  Riyadh, Saudi Arabia</w:t>
            </w:r>
          </w:p>
        </w:tc>
        <w:tc>
          <w:tcPr>
            <w:tcW w:type="dxa" w:w="3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C9A84C"/>
                <w:sz w:val="18"/>
                <w:szCs w:val="18"/>
              </w:rPr>
              <w:t xml:space="preserve">Apr 2022 — Present</w:t>
            </w:r>
          </w:p>
        </w:tc>
      </w:tr>
    </w:tbl>
    <w:p>
      <w:pPr>
        <w:spacing w:after="40" w:before="30"/>
      </w:pPr>
      <w:r>
        <w:rPr>
          <w:rFonts w:ascii="Calibri" w:cs="Calibri" w:eastAsia="Calibri" w:hAnsi="Calibri"/>
          <w:b/>
          <w:bCs/>
          <w:color w:val="0A1628"/>
          <w:sz w:val="21"/>
          <w:szCs w:val="21"/>
        </w:rPr>
        <w:t xml:space="preserve">Business Intelligence Manager</w:t>
      </w:r>
    </w:p>
    <w:p>
      <w:pPr>
        <w:spacing w:after="20" w:before="20"/>
        <w:ind w:left="180"/>
      </w:pPr>
      <w:r>
        <w:rPr>
          <w:rFonts w:ascii="Calibri" w:cs="Calibri" w:eastAsia="Calibri" w:hAnsi="Calibri"/>
          <w:color w:val="C9A84C"/>
          <w:sz w:val="18"/>
          <w:szCs w:val="18"/>
        </w:rPr>
        <w:t xml:space="preserve">▹  </w:t>
      </w:r>
      <w:r>
        <w:rPr>
          <w:rFonts w:ascii="Calibri" w:cs="Calibri" w:eastAsia="Calibri" w:hAnsi="Calibri"/>
          <w:color w:val="3A4F6A"/>
          <w:sz w:val="18"/>
          <w:szCs w:val="18"/>
        </w:rPr>
        <w:t xml:space="preserve">Lead a high-performing team of 6 BI developers and analysts, overseeing the full SDLC from requirements gathering to production support.</w:t>
      </w:r>
    </w:p>
    <w:p>
      <w:pPr>
        <w:spacing w:after="20" w:before="20"/>
        <w:ind w:left="180"/>
      </w:pPr>
      <w:r>
        <w:rPr>
          <w:rFonts w:ascii="Calibri" w:cs="Calibri" w:eastAsia="Calibri" w:hAnsi="Calibri"/>
          <w:color w:val="C9A84C"/>
          <w:sz w:val="18"/>
          <w:szCs w:val="18"/>
        </w:rPr>
        <w:t xml:space="preserve">▹  </w:t>
      </w:r>
      <w:r>
        <w:rPr>
          <w:rFonts w:ascii="Calibri" w:cs="Calibri" w:eastAsia="Calibri" w:hAnsi="Calibri"/>
          <w:color w:val="3A4F6A"/>
          <w:sz w:val="18"/>
          <w:szCs w:val="18"/>
        </w:rPr>
        <w:t xml:space="preserve">Directed implementation and ongoing support of core BI platforms utilizing SAP Business Objects and Tableau across banking functions.</w:t>
      </w:r>
    </w:p>
    <w:p>
      <w:pPr>
        <w:spacing w:after="20" w:before="20"/>
        <w:ind w:left="180"/>
      </w:pPr>
      <w:r>
        <w:rPr>
          <w:rFonts w:ascii="Calibri" w:cs="Calibri" w:eastAsia="Calibri" w:hAnsi="Calibri"/>
          <w:color w:val="C9A84C"/>
          <w:sz w:val="18"/>
          <w:szCs w:val="18"/>
        </w:rPr>
        <w:t xml:space="preserve">▹  </w:t>
      </w:r>
      <w:r>
        <w:rPr>
          <w:rFonts w:ascii="Calibri" w:cs="Calibri" w:eastAsia="Calibri" w:hAnsi="Calibri"/>
          <w:color w:val="3A4F6A"/>
          <w:sz w:val="18"/>
          <w:szCs w:val="18"/>
        </w:rPr>
        <w:t xml:space="preserve">Championed BI architecture strategy — optimizing the SAP BO semantic layer (Universes) and developing technical specifications meeting regulatory and business requirements.</w:t>
      </w:r>
    </w:p>
    <w:p>
      <w:pPr>
        <w:spacing w:after="20" w:before="20"/>
        <w:ind w:left="180"/>
      </w:pPr>
      <w:r>
        <w:rPr>
          <w:rFonts w:ascii="Calibri" w:cs="Calibri" w:eastAsia="Calibri" w:hAnsi="Calibri"/>
          <w:color w:val="C9A84C"/>
          <w:sz w:val="18"/>
          <w:szCs w:val="18"/>
        </w:rPr>
        <w:t xml:space="preserve">▹  </w:t>
      </w:r>
      <w:r>
        <w:rPr>
          <w:rFonts w:ascii="Calibri" w:cs="Calibri" w:eastAsia="Calibri" w:hAnsi="Calibri"/>
          <w:color w:val="3A4F6A"/>
          <w:sz w:val="18"/>
          <w:szCs w:val="18"/>
        </w:rPr>
        <w:t xml:space="preserve">Collaborated with stakeholders across retail, corporate, and operations banking to define data needs and deliver optimal analytics solutions.</w:t>
      </w:r>
    </w:p>
    <w:p>
      <w:pPr>
        <w:spacing w:after="40" w:before="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A4F6A"/>
          <w:sz w:val="20"/>
          <w:szCs w:val="20"/>
        </w:rPr>
        <w:t xml:space="preserve"/>
      </w:r>
    </w:p>
    <w:p>
      <w:pPr>
        <w:pBdr>
          <w:bottom w:val="single" w:color="DCE6F0" w:sz="2"/>
        </w:pBdr>
        <w:spacing w:after="20" w:before="20"/>
      </w:pPr>
    </w:p>
    <w:p>
      <w:pPr>
        <w:spacing w:after="20" w:before="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A4F6A"/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500"/>
        <w:gridCol w:w="3526"/>
      </w:tblGrid>
      <w:tr>
        <w:tc>
          <w:tcPr>
            <w:tcW w:type="dxa" w:w="5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7A6E"/>
                <w:sz w:val="19"/>
                <w:szCs w:val="19"/>
              </w:rPr>
              <w:t xml:space="preserve">SAUDI POST</w:t>
            </w:r>
            <w:r>
              <w:rPr>
                <w:rFonts w:ascii="Calibri" w:cs="Calibri" w:eastAsia="Calibri" w:hAnsi="Calibri"/>
                <w:color w:val="6F869E"/>
                <w:sz w:val="17"/>
                <w:szCs w:val="17"/>
              </w:rPr>
              <w:t xml:space="preserve">  ·  KSA</w:t>
            </w:r>
          </w:p>
        </w:tc>
        <w:tc>
          <w:tcPr>
            <w:tcW w:type="dxa" w:w="3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C9A84C"/>
                <w:sz w:val="18"/>
                <w:szCs w:val="18"/>
              </w:rPr>
              <w:t xml:space="preserve">Jul 2016 — Apr 2022</w:t>
            </w:r>
          </w:p>
        </w:tc>
      </w:tr>
    </w:tbl>
    <w:p>
      <w:pPr>
        <w:spacing w:after="40" w:before="30"/>
      </w:pPr>
      <w:r>
        <w:rPr>
          <w:rFonts w:ascii="Calibri" w:cs="Calibri" w:eastAsia="Calibri" w:hAnsi="Calibri"/>
          <w:b/>
          <w:bCs/>
          <w:color w:val="0A1628"/>
          <w:sz w:val="21"/>
          <w:szCs w:val="21"/>
        </w:rPr>
        <w:t xml:space="preserve">DM &amp; BI Team Lead</w:t>
      </w:r>
    </w:p>
    <w:p>
      <w:pPr>
        <w:spacing w:after="20" w:before="20"/>
        <w:ind w:left="180"/>
      </w:pPr>
      <w:r>
        <w:rPr>
          <w:rFonts w:ascii="Calibri" w:cs="Calibri" w:eastAsia="Calibri" w:hAnsi="Calibri"/>
          <w:color w:val="C9A84C"/>
          <w:sz w:val="18"/>
          <w:szCs w:val="18"/>
        </w:rPr>
        <w:t xml:space="preserve">▹  </w:t>
      </w:r>
      <w:r>
        <w:rPr>
          <w:rFonts w:ascii="Calibri" w:cs="Calibri" w:eastAsia="Calibri" w:hAnsi="Calibri"/>
          <w:color w:val="3A4F6A"/>
          <w:sz w:val="18"/>
          <w:szCs w:val="18"/>
        </w:rPr>
        <w:t xml:space="preserve">Architected and delivered a full national-scale BI enterprise system from scratch — defining team roles, hardware/software requirements, system architecture, and data flow.</w:t>
      </w:r>
    </w:p>
    <w:p>
      <w:pPr>
        <w:spacing w:after="20" w:before="20"/>
        <w:ind w:left="180"/>
      </w:pPr>
      <w:r>
        <w:rPr>
          <w:rFonts w:ascii="Calibri" w:cs="Calibri" w:eastAsia="Calibri" w:hAnsi="Calibri"/>
          <w:color w:val="C9A84C"/>
          <w:sz w:val="18"/>
          <w:szCs w:val="18"/>
        </w:rPr>
        <w:t xml:space="preserve">▹  </w:t>
      </w:r>
      <w:r>
        <w:rPr>
          <w:rFonts w:ascii="Calibri" w:cs="Calibri" w:eastAsia="Calibri" w:hAnsi="Calibri"/>
          <w:color w:val="3A4F6A"/>
          <w:sz w:val="18"/>
          <w:szCs w:val="18"/>
        </w:rPr>
        <w:t xml:space="preserve">Designed and implemented all data layers: Staging, Metadata, DWH, Data Mart, ODI, Administration &amp; Tracking, BI Catalog, and Data Visualization.</w:t>
      </w:r>
    </w:p>
    <w:p>
      <w:pPr>
        <w:spacing w:after="20" w:before="20"/>
        <w:ind w:left="180"/>
      </w:pPr>
      <w:r>
        <w:rPr>
          <w:rFonts w:ascii="Calibri" w:cs="Calibri" w:eastAsia="Calibri" w:hAnsi="Calibri"/>
          <w:color w:val="C9A84C"/>
          <w:sz w:val="18"/>
          <w:szCs w:val="18"/>
        </w:rPr>
        <w:t xml:space="preserve">▹  </w:t>
      </w:r>
      <w:r>
        <w:rPr>
          <w:rFonts w:ascii="Calibri" w:cs="Calibri" w:eastAsia="Calibri" w:hAnsi="Calibri"/>
          <w:color w:val="3A4F6A"/>
          <w:sz w:val="18"/>
          <w:szCs w:val="18"/>
        </w:rPr>
        <w:t xml:space="preserve">Integrated BI with GIS mapping, WebLogic security with Active Directory; built dynamic staging with automatic source schema change detection.</w:t>
      </w:r>
    </w:p>
    <w:p>
      <w:pPr>
        <w:spacing w:after="20" w:before="20"/>
        <w:ind w:left="180"/>
      </w:pPr>
      <w:r>
        <w:rPr>
          <w:rFonts w:ascii="Calibri" w:cs="Calibri" w:eastAsia="Calibri" w:hAnsi="Calibri"/>
          <w:color w:val="C9A84C"/>
          <w:sz w:val="18"/>
          <w:szCs w:val="18"/>
        </w:rPr>
        <w:t xml:space="preserve">▹  </w:t>
      </w:r>
      <w:r>
        <w:rPr>
          <w:rFonts w:ascii="Calibri" w:cs="Calibri" w:eastAsia="Calibri" w:hAnsi="Calibri"/>
          <w:color w:val="3A4F6A"/>
          <w:sz w:val="18"/>
          <w:szCs w:val="18"/>
        </w:rPr>
        <w:t xml:space="preserve">Implemented KPI write-back solutions for organizational strategy management and integrated with Microsoft CRM, Oracle ERP R12, and custom legacy systems.</w:t>
      </w:r>
    </w:p>
    <w:p>
      <w:pPr>
        <w:spacing w:after="20" w:before="20"/>
        <w:ind w:left="180"/>
      </w:pPr>
      <w:r>
        <w:rPr>
          <w:rFonts w:ascii="Calibri" w:cs="Calibri" w:eastAsia="Calibri" w:hAnsi="Calibri"/>
          <w:color w:val="C9A84C"/>
          <w:sz w:val="18"/>
          <w:szCs w:val="18"/>
        </w:rPr>
        <w:t xml:space="preserve">▹  </w:t>
      </w:r>
      <w:r>
        <w:rPr>
          <w:rFonts w:ascii="Calibri" w:cs="Calibri" w:eastAsia="Calibri" w:hAnsi="Calibri"/>
          <w:color w:val="3A4F6A"/>
          <w:sz w:val="18"/>
          <w:szCs w:val="18"/>
        </w:rPr>
        <w:t xml:space="preserve">Designed row-level security model with Active Directory; implemented BI usage tracking and custom administration control dashboards.</w:t>
      </w:r>
    </w:p>
    <w:p>
      <w:pPr>
        <w:spacing w:after="40" w:before="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A4F6A"/>
          <w:sz w:val="20"/>
          <w:szCs w:val="20"/>
        </w:rPr>
        <w:t xml:space="preserve"/>
      </w:r>
    </w:p>
    <w:p>
      <w:pPr>
        <w:pBdr>
          <w:bottom w:val="single" w:color="DCE6F0" w:sz="2"/>
        </w:pBdr>
        <w:spacing w:after="20" w:before="20"/>
      </w:pPr>
    </w:p>
    <w:p>
      <w:pPr>
        <w:spacing w:after="20" w:before="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A4F6A"/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500"/>
        <w:gridCol w:w="3526"/>
      </w:tblGrid>
      <w:tr>
        <w:tc>
          <w:tcPr>
            <w:tcW w:type="dxa" w:w="5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7A6E"/>
                <w:sz w:val="19"/>
                <w:szCs w:val="19"/>
              </w:rPr>
              <w:t xml:space="preserve">EGABI SOLUTIONS</w:t>
            </w:r>
            <w:r>
              <w:rPr>
                <w:rFonts w:ascii="Calibri" w:cs="Calibri" w:eastAsia="Calibri" w:hAnsi="Calibri"/>
                <w:color w:val="6F869E"/>
                <w:sz w:val="17"/>
                <w:szCs w:val="17"/>
              </w:rPr>
              <w:t xml:space="preserve">  ·  Egypt / KSA</w:t>
            </w:r>
          </w:p>
        </w:tc>
        <w:tc>
          <w:tcPr>
            <w:tcW w:type="dxa" w:w="3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C9A84C"/>
                <w:sz w:val="18"/>
                <w:szCs w:val="18"/>
              </w:rPr>
              <w:t xml:space="preserve">Apr 2015 — Jun 2016</w:t>
            </w:r>
          </w:p>
        </w:tc>
      </w:tr>
    </w:tbl>
    <w:p>
      <w:pPr>
        <w:spacing w:after="40" w:before="30"/>
      </w:pPr>
      <w:r>
        <w:rPr>
          <w:rFonts w:ascii="Calibri" w:cs="Calibri" w:eastAsia="Calibri" w:hAnsi="Calibri"/>
          <w:b/>
          <w:bCs/>
          <w:color w:val="0A1628"/>
          <w:sz w:val="21"/>
          <w:szCs w:val="21"/>
        </w:rPr>
        <w:t xml:space="preserve">Technical Team Leader</w:t>
      </w:r>
    </w:p>
    <w:p>
      <w:pPr>
        <w:spacing w:after="20" w:before="20"/>
        <w:ind w:left="180"/>
      </w:pPr>
      <w:r>
        <w:rPr>
          <w:rFonts w:ascii="Calibri" w:cs="Calibri" w:eastAsia="Calibri" w:hAnsi="Calibri"/>
          <w:color w:val="C9A84C"/>
          <w:sz w:val="18"/>
          <w:szCs w:val="18"/>
        </w:rPr>
        <w:t xml:space="preserve">▹  </w:t>
      </w:r>
      <w:r>
        <w:rPr>
          <w:rFonts w:ascii="Calibri" w:cs="Calibri" w:eastAsia="Calibri" w:hAnsi="Calibri"/>
          <w:color w:val="3A4F6A"/>
          <w:sz w:val="18"/>
          <w:szCs w:val="18"/>
        </w:rPr>
        <w:t xml:space="preserve">Managed project delivery across multiple BI consulting engagements — client requirements, planning, task distribution, quality assurance, and sign-off.</w:t>
      </w:r>
    </w:p>
    <w:p>
      <w:pPr>
        <w:spacing w:after="20" w:before="20"/>
        <w:ind w:left="180"/>
      </w:pPr>
      <w:r>
        <w:rPr>
          <w:rFonts w:ascii="Calibri" w:cs="Calibri" w:eastAsia="Calibri" w:hAnsi="Calibri"/>
          <w:color w:val="C9A84C"/>
          <w:sz w:val="18"/>
          <w:szCs w:val="18"/>
        </w:rPr>
        <w:t xml:space="preserve">▹  </w:t>
      </w:r>
      <w:r>
        <w:rPr>
          <w:rFonts w:ascii="Calibri" w:cs="Calibri" w:eastAsia="Calibri" w:hAnsi="Calibri"/>
          <w:color w:val="3A4F6A"/>
          <w:sz w:val="18"/>
          <w:szCs w:val="18"/>
        </w:rPr>
        <w:t xml:space="preserve">Conducted knowledge transfer sessions, staff objective-setting, and periodic performance evaluations.</w:t>
      </w:r>
    </w:p>
    <w:p>
      <w:pPr>
        <w:spacing w:after="40" w:before="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A4F6A"/>
          <w:sz w:val="20"/>
          <w:szCs w:val="20"/>
        </w:rPr>
        <w:t xml:space="preserve"/>
      </w:r>
    </w:p>
    <w:p>
      <w:pPr>
        <w:pBdr>
          <w:bottom w:val="single" w:color="DCE6F0" w:sz="2"/>
        </w:pBdr>
        <w:spacing w:after="20" w:before="20"/>
      </w:pPr>
    </w:p>
    <w:p>
      <w:pPr>
        <w:spacing w:after="20" w:before="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A4F6A"/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500"/>
        <w:gridCol w:w="3526"/>
      </w:tblGrid>
      <w:tr>
        <w:tc>
          <w:tcPr>
            <w:tcW w:type="dxa" w:w="5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7A6E"/>
                <w:sz w:val="19"/>
                <w:szCs w:val="19"/>
              </w:rPr>
              <w:t xml:space="preserve">EGABI SOLUTIONS</w:t>
            </w:r>
            <w:r>
              <w:rPr>
                <w:rFonts w:ascii="Calibri" w:cs="Calibri" w:eastAsia="Calibri" w:hAnsi="Calibri"/>
                <w:color w:val="6F869E"/>
                <w:sz w:val="17"/>
                <w:szCs w:val="17"/>
              </w:rPr>
              <w:t xml:space="preserve">  ·  Egypt / KSA</w:t>
            </w:r>
          </w:p>
        </w:tc>
        <w:tc>
          <w:tcPr>
            <w:tcW w:type="dxa" w:w="3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C9A84C"/>
                <w:sz w:val="18"/>
                <w:szCs w:val="18"/>
              </w:rPr>
              <w:t xml:space="preserve">Jun 2012 — Apr 2015</w:t>
            </w:r>
          </w:p>
        </w:tc>
      </w:tr>
    </w:tbl>
    <w:p>
      <w:pPr>
        <w:spacing w:after="40" w:before="30"/>
      </w:pPr>
      <w:r>
        <w:rPr>
          <w:rFonts w:ascii="Calibri" w:cs="Calibri" w:eastAsia="Calibri" w:hAnsi="Calibri"/>
          <w:b/>
          <w:bCs/>
          <w:color w:val="0A1628"/>
          <w:sz w:val="21"/>
          <w:szCs w:val="21"/>
        </w:rPr>
        <w:t xml:space="preserve">Senior Technical Consultant</w:t>
      </w:r>
    </w:p>
    <w:p>
      <w:pPr>
        <w:spacing w:after="20" w:before="20"/>
        <w:ind w:left="180"/>
      </w:pPr>
      <w:r>
        <w:rPr>
          <w:rFonts w:ascii="Calibri" w:cs="Calibri" w:eastAsia="Calibri" w:hAnsi="Calibri"/>
          <w:color w:val="C9A84C"/>
          <w:sz w:val="18"/>
          <w:szCs w:val="18"/>
        </w:rPr>
        <w:t xml:space="preserve">▹  </w:t>
      </w:r>
      <w:r>
        <w:rPr>
          <w:rFonts w:ascii="Calibri" w:cs="Calibri" w:eastAsia="Calibri" w:hAnsi="Calibri"/>
          <w:color w:val="3A4F6A"/>
          <w:sz w:val="18"/>
          <w:szCs w:val="18"/>
        </w:rPr>
        <w:t xml:space="preserve">Implemented Oracle BI technologies across multiple client sectors: DWH design, OBIEE repository development, ETL configuration with Informatica/DAC/ODI.</w:t>
      </w:r>
    </w:p>
    <w:p>
      <w:pPr>
        <w:spacing w:after="20" w:before="20"/>
        <w:ind w:left="180"/>
      </w:pPr>
      <w:r>
        <w:rPr>
          <w:rFonts w:ascii="Calibri" w:cs="Calibri" w:eastAsia="Calibri" w:hAnsi="Calibri"/>
          <w:color w:val="C9A84C"/>
          <w:sz w:val="18"/>
          <w:szCs w:val="18"/>
        </w:rPr>
        <w:t xml:space="preserve">▹  </w:t>
      </w:r>
      <w:r>
        <w:rPr>
          <w:rFonts w:ascii="Calibri" w:cs="Calibri" w:eastAsia="Calibri" w:hAnsi="Calibri"/>
          <w:color w:val="3A4F6A"/>
          <w:sz w:val="18"/>
          <w:szCs w:val="18"/>
        </w:rPr>
        <w:t xml:space="preserve">Developed KPI scorecards, executive dashboards, and row-level security integrated with Active Directory using the full Oracle analytics stack.</w:t>
      </w:r>
    </w:p>
    <w:p>
      <w:pPr>
        <w:spacing w:after="40" w:before="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A4F6A"/>
          <w:sz w:val="20"/>
          <w:szCs w:val="20"/>
        </w:rPr>
        <w:t xml:space="preserve"/>
      </w:r>
    </w:p>
    <w:p>
      <w:pPr>
        <w:pBdr>
          <w:bottom w:val="single" w:color="DCE6F0" w:sz="2"/>
        </w:pBdr>
        <w:spacing w:after="20" w:before="20"/>
      </w:pPr>
    </w:p>
    <w:p>
      <w:pPr>
        <w:spacing w:after="20" w:before="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A4F6A"/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500"/>
        <w:gridCol w:w="3526"/>
      </w:tblGrid>
      <w:tr>
        <w:tc>
          <w:tcPr>
            <w:tcW w:type="dxa" w:w="5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7A6E"/>
                <w:sz w:val="19"/>
                <w:szCs w:val="19"/>
              </w:rPr>
              <w:t xml:space="preserve">GOLDEN PYRAMIDS PLAZA</w:t>
            </w:r>
            <w:r>
              <w:rPr>
                <w:rFonts w:ascii="Calibri" w:cs="Calibri" w:eastAsia="Calibri" w:hAnsi="Calibri"/>
                <w:color w:val="6F869E"/>
                <w:sz w:val="17"/>
                <w:szCs w:val="17"/>
              </w:rPr>
              <w:t xml:space="preserve">  ·  City Stars, Egypt</w:t>
            </w:r>
          </w:p>
        </w:tc>
        <w:tc>
          <w:tcPr>
            <w:tcW w:type="dxa" w:w="3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C9A84C"/>
                <w:sz w:val="18"/>
                <w:szCs w:val="18"/>
              </w:rPr>
              <w:t xml:space="preserve">May 2011 — Jun 2012</w:t>
            </w:r>
          </w:p>
        </w:tc>
      </w:tr>
    </w:tbl>
    <w:p>
      <w:pPr>
        <w:spacing w:after="40" w:before="30"/>
      </w:pPr>
      <w:r>
        <w:rPr>
          <w:rFonts w:ascii="Calibri" w:cs="Calibri" w:eastAsia="Calibri" w:hAnsi="Calibri"/>
          <w:b/>
          <w:bCs/>
          <w:color w:val="0A1628"/>
          <w:sz w:val="21"/>
          <w:szCs w:val="21"/>
        </w:rPr>
        <w:t xml:space="preserve">Senior Application Developer</w:t>
      </w:r>
    </w:p>
    <w:p>
      <w:pPr>
        <w:spacing w:after="20" w:before="20"/>
        <w:ind w:left="180"/>
      </w:pPr>
      <w:r>
        <w:rPr>
          <w:rFonts w:ascii="Calibri" w:cs="Calibri" w:eastAsia="Calibri" w:hAnsi="Calibri"/>
          <w:color w:val="C9A84C"/>
          <w:sz w:val="18"/>
          <w:szCs w:val="18"/>
        </w:rPr>
        <w:t xml:space="preserve">▹  </w:t>
      </w:r>
      <w:r>
        <w:rPr>
          <w:rFonts w:ascii="Calibri" w:cs="Calibri" w:eastAsia="Calibri" w:hAnsi="Calibri"/>
          <w:color w:val="3A4F6A"/>
          <w:sz w:val="18"/>
          <w:szCs w:val="18"/>
        </w:rPr>
        <w:t xml:space="preserve">Oracle E-Business Suite R12 implementation covering GL, AR, AP, FA, CE, HR, Payroll, ECM, UCM — custom forms, reports, workflows, and R11→R12 migration.</w:t>
      </w:r>
    </w:p>
    <w:p>
      <w:pPr>
        <w:spacing w:after="20" w:before="20"/>
        <w:ind w:left="180"/>
      </w:pPr>
      <w:r>
        <w:rPr>
          <w:rFonts w:ascii="Calibri" w:cs="Calibri" w:eastAsia="Calibri" w:hAnsi="Calibri"/>
          <w:color w:val="C9A84C"/>
          <w:sz w:val="18"/>
          <w:szCs w:val="18"/>
        </w:rPr>
        <w:t xml:space="preserve">▹  </w:t>
      </w:r>
      <w:r>
        <w:rPr>
          <w:rFonts w:ascii="Calibri" w:cs="Calibri" w:eastAsia="Calibri" w:hAnsi="Calibri"/>
          <w:color w:val="3A4F6A"/>
          <w:sz w:val="18"/>
          <w:szCs w:val="18"/>
        </w:rPr>
        <w:t xml:space="preserve">OBIEE repository and interactive dashboard development; BIAPPS deployment with Informatica and DAC.</w:t>
      </w:r>
    </w:p>
    <w:p>
      <w:pPr>
        <w:spacing w:after="40" w:before="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A4F6A"/>
          <w:sz w:val="20"/>
          <w:szCs w:val="20"/>
        </w:rPr>
        <w:t xml:space="preserve"/>
      </w:r>
    </w:p>
    <w:p>
      <w:pPr>
        <w:pBdr>
          <w:bottom w:val="single" w:color="DCE6F0" w:sz="2"/>
        </w:pBdr>
        <w:spacing w:after="20" w:before="20"/>
      </w:pPr>
    </w:p>
    <w:p>
      <w:pPr>
        <w:spacing w:after="20" w:before="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A4F6A"/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500"/>
        <w:gridCol w:w="3526"/>
      </w:tblGrid>
      <w:tr>
        <w:tc>
          <w:tcPr>
            <w:tcW w:type="dxa" w:w="5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7A6E"/>
                <w:sz w:val="19"/>
                <w:szCs w:val="19"/>
              </w:rPr>
              <w:t xml:space="preserve">RUMOUZ</w:t>
            </w:r>
            <w:r>
              <w:rPr>
                <w:rFonts w:ascii="Calibri" w:cs="Calibri" w:eastAsia="Calibri" w:hAnsi="Calibri"/>
                <w:color w:val="6F869E"/>
                <w:sz w:val="17"/>
                <w:szCs w:val="17"/>
              </w:rPr>
              <w:t xml:space="preserve">  ·  Egypt</w:t>
            </w:r>
          </w:p>
        </w:tc>
        <w:tc>
          <w:tcPr>
            <w:tcW w:type="dxa" w:w="3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C9A84C"/>
                <w:sz w:val="18"/>
                <w:szCs w:val="18"/>
              </w:rPr>
              <w:t xml:space="preserve">Feb 2010 — Apr 2011</w:t>
            </w:r>
          </w:p>
        </w:tc>
      </w:tr>
    </w:tbl>
    <w:p>
      <w:pPr>
        <w:spacing w:after="40" w:before="30"/>
      </w:pPr>
      <w:r>
        <w:rPr>
          <w:rFonts w:ascii="Calibri" w:cs="Calibri" w:eastAsia="Calibri" w:hAnsi="Calibri"/>
          <w:b/>
          <w:bCs/>
          <w:color w:val="0A1628"/>
          <w:sz w:val="21"/>
          <w:szCs w:val="21"/>
        </w:rPr>
        <w:t xml:space="preserve">Oracle Application Developer Consultant</w:t>
      </w:r>
    </w:p>
    <w:p>
      <w:pPr>
        <w:spacing w:after="20" w:before="20"/>
        <w:ind w:left="180"/>
      </w:pPr>
      <w:r>
        <w:rPr>
          <w:rFonts w:ascii="Calibri" w:cs="Calibri" w:eastAsia="Calibri" w:hAnsi="Calibri"/>
          <w:color w:val="C9A84C"/>
          <w:sz w:val="18"/>
          <w:szCs w:val="18"/>
        </w:rPr>
        <w:t xml:space="preserve">▹  </w:t>
      </w:r>
      <w:r>
        <w:rPr>
          <w:rFonts w:ascii="Calibri" w:cs="Calibri" w:eastAsia="Calibri" w:hAnsi="Calibri"/>
          <w:color w:val="3A4F6A"/>
          <w:sz w:val="18"/>
          <w:szCs w:val="18"/>
        </w:rPr>
        <w:t xml:space="preserve">Custom reporting for Oracle Applications R12 across all financial and HR modules; legacy integration via Financial Services Accounting Hub (FSAH).</w:t>
      </w:r>
    </w:p>
    <w:p>
      <w:pPr>
        <w:spacing w:after="40" w:before="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A4F6A"/>
          <w:sz w:val="20"/>
          <w:szCs w:val="20"/>
        </w:rPr>
        <w:t xml:space="preserve"/>
      </w:r>
    </w:p>
    <w:p>
      <w:pPr>
        <w:pBdr>
          <w:bottom w:val="single" w:color="DCE6F0" w:sz="2"/>
        </w:pBdr>
        <w:spacing w:after="20" w:before="20"/>
      </w:pPr>
    </w:p>
    <w:p>
      <w:pPr>
        <w:spacing w:after="20" w:before="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A4F6A"/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500"/>
        <w:gridCol w:w="3526"/>
      </w:tblGrid>
      <w:tr>
        <w:tc>
          <w:tcPr>
            <w:tcW w:type="dxa" w:w="5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7A6E"/>
                <w:sz w:val="19"/>
                <w:szCs w:val="19"/>
              </w:rPr>
              <w:t xml:space="preserve">GOLDEN PYRAMIDS PLAZA</w:t>
            </w:r>
            <w:r>
              <w:rPr>
                <w:rFonts w:ascii="Calibri" w:cs="Calibri" w:eastAsia="Calibri" w:hAnsi="Calibri"/>
                <w:color w:val="6F869E"/>
                <w:sz w:val="17"/>
                <w:szCs w:val="17"/>
              </w:rPr>
              <w:t xml:space="preserve">  ·  City Stars, Egypt</w:t>
            </w:r>
          </w:p>
        </w:tc>
        <w:tc>
          <w:tcPr>
            <w:tcW w:type="dxa" w:w="3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C9A84C"/>
                <w:sz w:val="18"/>
                <w:szCs w:val="18"/>
              </w:rPr>
              <w:t xml:space="preserve">Dec 2005 — Jan 2010</w:t>
            </w:r>
          </w:p>
        </w:tc>
      </w:tr>
    </w:tbl>
    <w:p>
      <w:pPr>
        <w:spacing w:after="40" w:before="30"/>
      </w:pPr>
      <w:r>
        <w:rPr>
          <w:rFonts w:ascii="Calibri" w:cs="Calibri" w:eastAsia="Calibri" w:hAnsi="Calibri"/>
          <w:b/>
          <w:bCs/>
          <w:color w:val="0A1628"/>
          <w:sz w:val="21"/>
          <w:szCs w:val="21"/>
        </w:rPr>
        <w:t xml:space="preserve">Application Developer</w:t>
      </w:r>
    </w:p>
    <w:p>
      <w:pPr>
        <w:spacing w:after="20" w:before="20"/>
        <w:ind w:left="180"/>
      </w:pPr>
      <w:r>
        <w:rPr>
          <w:rFonts w:ascii="Calibri" w:cs="Calibri" w:eastAsia="Calibri" w:hAnsi="Calibri"/>
          <w:color w:val="C9A84C"/>
          <w:sz w:val="18"/>
          <w:szCs w:val="18"/>
        </w:rPr>
        <w:t xml:space="preserve">▹  </w:t>
      </w:r>
      <w:r>
        <w:rPr>
          <w:rFonts w:ascii="Calibri" w:cs="Calibri" w:eastAsia="Calibri" w:hAnsi="Calibri"/>
          <w:color w:val="3A4F6A"/>
          <w:sz w:val="18"/>
          <w:szCs w:val="18"/>
        </w:rPr>
        <w:t xml:space="preserve">Oracle ERP custom module development for financials; gap analysis, risk assessment, and supplementary business systems in MS Access.</w:t>
      </w:r>
    </w:p>
    <w:p>
      <w:pPr>
        <w:spacing w:after="60" w:before="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A4F6A"/>
          <w:sz w:val="20"/>
          <w:szCs w:val="20"/>
        </w:rPr>
        <w:t xml:space="preserve"/>
      </w:r>
    </w:p>
    <w:p>
      <w:pPr>
        <w:pBdr>
          <w:bottom w:val="single" w:color="DCE6F0" w:sz="2"/>
        </w:pBdr>
        <w:spacing w:after="20" w:before="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913"/>
        <w:gridCol w:w="4113"/>
      </w:tblGrid>
      <w:tr>
        <w:tc>
          <w:tcPr>
            <w:tcW w:type="dxa" w:w="4913"/>
            <w:tcBorders>
              <w:top w:val="none" w:color="FFFFFF" w:sz="0"/>
              <w:left w:val="none" w:color="FFFFFF" w:sz="0"/>
              <w:bottom w:val="none" w:color="FFFFFF" w:sz="0"/>
              <w:right w:val="single" w:color="DCE6F0" w:sz="2"/>
            </w:tcBorders>
            <w:tcMar>
              <w:top w:type="dxa" w:w="0"/>
              <w:left w:type="dxa" w:w="0"/>
              <w:bottom w:type="dxa" w:w="0"/>
              <w:right w:type="dxa" w:w="300"/>
            </w:tcMar>
            <w:vAlign w:val="top"/>
          </w:tcPr>
          <w:p>
            <w:pPr>
              <w:spacing w:after="60" w:before="160"/>
            </w:pPr>
            <w:r>
              <w:rPr>
                <w:rFonts w:ascii="Calibri" w:cs="Calibri" w:eastAsia="Calibri" w:hAnsi="Calibri"/>
                <w:color w:val="C9A84C"/>
                <w:sz w:val="18"/>
                <w:szCs w:val="18"/>
              </w:rPr>
              <w:t xml:space="preserve">▌ </w:t>
            </w:r>
            <w:r>
              <w:rPr>
                <w:rFonts w:ascii="Calibri" w:cs="Calibri" w:eastAsia="Calibri" w:hAnsi="Calibri"/>
                <w:b/>
                <w:bCs/>
                <w:color w:val="1A7A6E"/>
                <w:spacing w:val="80"/>
                <w:sz w:val="16"/>
                <w:szCs w:val="16"/>
              </w:rPr>
              <w:t xml:space="preserve">CORE COMPETENCIES</w:t>
            </w:r>
          </w:p>
          <w:p>
            <w:pPr>
              <w:spacing w:after="20" w:before="80"/>
            </w:pPr>
            <w:r>
              <w:rPr>
                <w:rFonts w:ascii="Calibri" w:cs="Calibri" w:eastAsia="Calibri" w:hAnsi="Calibri"/>
                <w:b/>
                <w:bCs/>
                <w:color w:val="0A1628"/>
                <w:sz w:val="18"/>
                <w:szCs w:val="18"/>
              </w:rPr>
              <w:t xml:space="preserve">Analytics Platforms</w:t>
            </w:r>
          </w:p>
          <w:p>
            <w:pPr>
              <w:spacing w:after="60" w:before="0"/>
            </w:pPr>
            <w:r>
              <w:rPr>
                <w:rFonts w:ascii="Calibri" w:cs="Calibri" w:eastAsia="Calibri" w:hAnsi="Calibri"/>
                <w:color w:val="3A4F6A"/>
                <w:sz w:val="18"/>
                <w:szCs w:val="18"/>
              </w:rPr>
              <w:t xml:space="preserve">SAP Business Objects · Tableau · MS Power BI · OBIEE 12c/11g/10g · BIAPPS · Alteryx · Axon · EDC</w:t>
            </w:r>
          </w:p>
          <w:p>
            <w:pPr>
              <w:spacing w:after="20" w:before="80"/>
            </w:pPr>
            <w:r>
              <w:rPr>
                <w:rFonts w:ascii="Calibri" w:cs="Calibri" w:eastAsia="Calibri" w:hAnsi="Calibri"/>
                <w:b/>
                <w:bCs/>
                <w:color w:val="0A1628"/>
                <w:sz w:val="18"/>
                <w:szCs w:val="18"/>
              </w:rPr>
              <w:t xml:space="preserve">Data Management</w:t>
            </w:r>
          </w:p>
          <w:p>
            <w:pPr>
              <w:spacing w:after="60" w:before="0"/>
            </w:pPr>
            <w:r>
              <w:rPr>
                <w:rFonts w:ascii="Calibri" w:cs="Calibri" w:eastAsia="Calibri" w:hAnsi="Calibri"/>
                <w:color w:val="3A4F6A"/>
                <w:sz w:val="18"/>
                <w:szCs w:val="18"/>
              </w:rPr>
              <w:t xml:space="preserve">Data Warehouse · Data Mart · MDM · Data Quality · Data Catalog · Data Stage · SQL</w:t>
            </w:r>
          </w:p>
          <w:p>
            <w:pPr>
              <w:spacing w:after="20" w:before="80"/>
            </w:pPr>
            <w:r>
              <w:rPr>
                <w:rFonts w:ascii="Calibri" w:cs="Calibri" w:eastAsia="Calibri" w:hAnsi="Calibri"/>
                <w:b/>
                <w:bCs/>
                <w:color w:val="0A1628"/>
                <w:sz w:val="18"/>
                <w:szCs w:val="18"/>
              </w:rPr>
              <w:t xml:space="preserve">ETL &amp; Integration</w:t>
            </w:r>
          </w:p>
          <w:p>
            <w:pPr>
              <w:spacing w:after="60" w:before="0"/>
            </w:pPr>
            <w:r>
              <w:rPr>
                <w:rFonts w:ascii="Calibri" w:cs="Calibri" w:eastAsia="Calibri" w:hAnsi="Calibri"/>
                <w:color w:val="3A4F6A"/>
                <w:sz w:val="18"/>
                <w:szCs w:val="18"/>
              </w:rPr>
              <w:t xml:space="preserve">ODI · Informatica · DAC · Oracle ERP R12 · Active Directory · WebLogic · GIS · MS CRM</w:t>
            </w:r>
          </w:p>
          <w:p>
            <w:pPr>
              <w:spacing w:after="20" w:before="80"/>
            </w:pPr>
            <w:r>
              <w:rPr>
                <w:rFonts w:ascii="Calibri" w:cs="Calibri" w:eastAsia="Calibri" w:hAnsi="Calibri"/>
                <w:b/>
                <w:bCs/>
                <w:color w:val="0A1628"/>
                <w:sz w:val="18"/>
                <w:szCs w:val="18"/>
              </w:rPr>
              <w:t xml:space="preserve">Leadership &amp; Strategy</w:t>
            </w:r>
          </w:p>
          <w:p>
            <w:pPr>
              <w:spacing w:after="60" w:before="0"/>
            </w:pPr>
            <w:r>
              <w:rPr>
                <w:rFonts w:ascii="Calibri" w:cs="Calibri" w:eastAsia="Calibri" w:hAnsi="Calibri"/>
                <w:color w:val="3A4F6A"/>
                <w:sz w:val="18"/>
                <w:szCs w:val="18"/>
              </w:rPr>
              <w:t xml:space="preserve">Team Leadership · SDLC Management · Project Management · Stakeholder Engagement · Data Governance · Strategic Planning</w:t>
            </w:r>
          </w:p>
        </w:tc>
        <w:tc>
          <w:tcPr>
            <w:tcW w:type="dxa" w:w="41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0"/>
              <w:bottom w:type="dxa" w:w="0"/>
              <w:right w:type="dxa" w:w="0"/>
            </w:tcMar>
            <w:vAlign w:val="top"/>
          </w:tcPr>
          <w:p>
            <w:pPr>
              <w:spacing w:after="60" w:before="160"/>
            </w:pPr>
            <w:r>
              <w:rPr>
                <w:rFonts w:ascii="Calibri" w:cs="Calibri" w:eastAsia="Calibri" w:hAnsi="Calibri"/>
                <w:color w:val="C9A84C"/>
                <w:sz w:val="18"/>
                <w:szCs w:val="18"/>
              </w:rPr>
              <w:t xml:space="preserve">▌ </w:t>
            </w:r>
            <w:r>
              <w:rPr>
                <w:rFonts w:ascii="Calibri" w:cs="Calibri" w:eastAsia="Calibri" w:hAnsi="Calibri"/>
                <w:b/>
                <w:bCs/>
                <w:color w:val="1A7A6E"/>
                <w:spacing w:val="80"/>
                <w:sz w:val="16"/>
                <w:szCs w:val="16"/>
              </w:rPr>
              <w:t xml:space="preserve">EDUCATION</w:t>
            </w:r>
          </w:p>
          <w:p>
            <w:pPr>
              <w:spacing w:after="20" w:before="60"/>
            </w:pPr>
            <w:r>
              <w:rPr>
                <w:rFonts w:ascii="Calibri" w:cs="Calibri" w:eastAsia="Calibri" w:hAnsi="Calibri"/>
                <w:b/>
                <w:bCs/>
                <w:color w:val="0A1628"/>
                <w:sz w:val="19"/>
                <w:szCs w:val="19"/>
              </w:rPr>
              <w:t xml:space="preserve">B.Sc. Management Information Systems</w:t>
            </w:r>
          </w:p>
          <w:p>
            <w:pPr>
              <w:spacing w:after="10" w:before="0"/>
            </w:pPr>
            <w:r>
              <w:rPr>
                <w:rFonts w:ascii="Calibri" w:cs="Calibri" w:eastAsia="Calibri" w:hAnsi="Calibri"/>
                <w:color w:val="3A4F6A"/>
                <w:sz w:val="18"/>
                <w:szCs w:val="18"/>
              </w:rPr>
              <w:t xml:space="preserve">Modern Academy — Faculty of Business &amp; Technology</w:t>
            </w:r>
          </w:p>
          <w:p>
            <w:pPr>
              <w:spacing w:after="100" w:before="0"/>
            </w:pPr>
            <w:r>
              <w:rPr>
                <w:rFonts w:ascii="Calibri" w:cs="Calibri" w:eastAsia="Calibri" w:hAnsi="Calibri"/>
                <w:b/>
                <w:bCs/>
                <w:color w:val="C9A84C"/>
                <w:sz w:val="17"/>
                <w:szCs w:val="17"/>
              </w:rPr>
              <w:t xml:space="preserve">Cairo, Egypt  ·  2001 – 2005</w:t>
            </w:r>
          </w:p>
          <w:p>
            <w:pPr>
              <w:spacing w:after="60" w:before="160"/>
            </w:pPr>
            <w:r>
              <w:rPr>
                <w:rFonts w:ascii="Calibri" w:cs="Calibri" w:eastAsia="Calibri" w:hAnsi="Calibri"/>
                <w:color w:val="C9A84C"/>
                <w:sz w:val="18"/>
                <w:szCs w:val="18"/>
              </w:rPr>
              <w:t xml:space="preserve">▌ </w:t>
            </w:r>
            <w:r>
              <w:rPr>
                <w:rFonts w:ascii="Calibri" w:cs="Calibri" w:eastAsia="Calibri" w:hAnsi="Calibri"/>
                <w:b/>
                <w:bCs/>
                <w:color w:val="1A7A6E"/>
                <w:spacing w:val="80"/>
                <w:sz w:val="16"/>
                <w:szCs w:val="16"/>
              </w:rPr>
              <w:t xml:space="preserve">CERTIFICATIONS</w:t>
            </w:r>
          </w:p>
          <w:tbl>
            <w:tblPr>
              <w:tblW w:type="dxa" w:w="38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2800"/>
              <w:gridCol w:w="1000"/>
            </w:tblGrid>
            <w:tr>
              <w:tc>
                <w:tcPr>
                  <w:tcW w:type="dxa" w:w="2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0"/>
                    <w:bottom w:type="dxa" w:w="20"/>
                    <w:right w:type="dxa" w:w="4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3A4F6A"/>
                      <w:sz w:val="17"/>
                      <w:szCs w:val="17"/>
                    </w:rPr>
                    <w:t xml:space="preserve">Data Steward Foundations</w:t>
                  </w:r>
                </w:p>
              </w:tc>
              <w:tc>
                <w:tcPr>
                  <w:tcW w:type="dxa" w:w="10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0"/>
                    <w:bottom w:type="dxa" w:w="20"/>
                    <w:right w:type="dxa" w:w="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C9A84C"/>
                      <w:sz w:val="16"/>
                      <w:szCs w:val="16"/>
                    </w:rPr>
                    <w:t xml:space="preserve">May 2025</w:t>
                  </w:r>
                </w:p>
              </w:tc>
            </w:tr>
          </w:tbl>
          <w:tbl>
            <w:tblPr>
              <w:tblW w:type="dxa" w:w="38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2800"/>
              <w:gridCol w:w="1000"/>
            </w:tblGrid>
            <w:tr>
              <w:tc>
                <w:tcPr>
                  <w:tcW w:type="dxa" w:w="2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0"/>
                    <w:bottom w:type="dxa" w:w="20"/>
                    <w:right w:type="dxa" w:w="4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3A4F6A"/>
                      <w:sz w:val="17"/>
                      <w:szCs w:val="17"/>
                    </w:rPr>
                    <w:t xml:space="preserve">Learning Data Governance</w:t>
                  </w:r>
                </w:p>
              </w:tc>
              <w:tc>
                <w:tcPr>
                  <w:tcW w:type="dxa" w:w="10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0"/>
                    <w:bottom w:type="dxa" w:w="20"/>
                    <w:right w:type="dxa" w:w="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C9A84C"/>
                      <w:sz w:val="16"/>
                      <w:szCs w:val="16"/>
                    </w:rPr>
                    <w:t xml:space="preserve">Jun 2025</w:t>
                  </w:r>
                </w:p>
              </w:tc>
            </w:tr>
          </w:tbl>
          <w:tbl>
            <w:tblPr>
              <w:tblW w:type="dxa" w:w="38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2800"/>
              <w:gridCol w:w="1000"/>
            </w:tblGrid>
            <w:tr>
              <w:tc>
                <w:tcPr>
                  <w:tcW w:type="dxa" w:w="2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0"/>
                    <w:bottom w:type="dxa" w:w="20"/>
                    <w:right w:type="dxa" w:w="4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3A4F6A"/>
                      <w:sz w:val="17"/>
                      <w:szCs w:val="17"/>
                    </w:rPr>
                    <w:t xml:space="preserve">Data Ethics: Data-Driven Decisions</w:t>
                  </w:r>
                </w:p>
              </w:tc>
              <w:tc>
                <w:tcPr>
                  <w:tcW w:type="dxa" w:w="10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0"/>
                    <w:bottom w:type="dxa" w:w="20"/>
                    <w:right w:type="dxa" w:w="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C9A84C"/>
                      <w:sz w:val="16"/>
                      <w:szCs w:val="16"/>
                    </w:rPr>
                    <w:t xml:space="preserve">Jul 2025</w:t>
                  </w:r>
                </w:p>
              </w:tc>
            </w:tr>
          </w:tbl>
          <w:tbl>
            <w:tblPr>
              <w:tblW w:type="dxa" w:w="38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2800"/>
              <w:gridCol w:w="1000"/>
            </w:tblGrid>
            <w:tr>
              <w:tc>
                <w:tcPr>
                  <w:tcW w:type="dxa" w:w="2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0"/>
                    <w:bottom w:type="dxa" w:w="20"/>
                    <w:right w:type="dxa" w:w="4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3A4F6A"/>
                      <w:sz w:val="17"/>
                      <w:szCs w:val="17"/>
                    </w:rPr>
                    <w:t xml:space="preserve">Responsible AI — Foundations &amp; Applications</w:t>
                  </w:r>
                </w:p>
              </w:tc>
              <w:tc>
                <w:tcPr>
                  <w:tcW w:type="dxa" w:w="10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0"/>
                    <w:bottom w:type="dxa" w:w="20"/>
                    <w:right w:type="dxa" w:w="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C9A84C"/>
                      <w:sz w:val="16"/>
                      <w:szCs w:val="16"/>
                    </w:rPr>
                    <w:t xml:space="preserve">Jul 2025</w:t>
                  </w:r>
                </w:p>
              </w:tc>
            </w:tr>
          </w:tbl>
          <w:tbl>
            <w:tblPr>
              <w:tblW w:type="dxa" w:w="38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2800"/>
              <w:gridCol w:w="1000"/>
            </w:tblGrid>
            <w:tr>
              <w:tc>
                <w:tcPr>
                  <w:tcW w:type="dxa" w:w="2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0"/>
                    <w:bottom w:type="dxa" w:w="20"/>
                    <w:right w:type="dxa" w:w="4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3A4F6A"/>
                      <w:sz w:val="17"/>
                      <w:szCs w:val="17"/>
                    </w:rPr>
                    <w:t xml:space="preserve">Business Development: Strategic Planning</w:t>
                  </w:r>
                </w:p>
              </w:tc>
              <w:tc>
                <w:tcPr>
                  <w:tcW w:type="dxa" w:w="10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0"/>
                    <w:bottom w:type="dxa" w:w="20"/>
                    <w:right w:type="dxa" w:w="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C9A84C"/>
                      <w:sz w:val="16"/>
                      <w:szCs w:val="16"/>
                    </w:rPr>
                    <w:t xml:space="preserve">Jul 2025</w:t>
                  </w:r>
                </w:p>
              </w:tc>
            </w:tr>
          </w:tbl>
          <w:tbl>
            <w:tblPr>
              <w:tblW w:type="dxa" w:w="38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2800"/>
              <w:gridCol w:w="1000"/>
            </w:tblGrid>
            <w:tr>
              <w:tc>
                <w:tcPr>
                  <w:tcW w:type="dxa" w:w="2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0"/>
                    <w:bottom w:type="dxa" w:w="20"/>
                    <w:right w:type="dxa" w:w="4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3A4F6A"/>
                      <w:sz w:val="17"/>
                      <w:szCs w:val="17"/>
                    </w:rPr>
                    <w:t xml:space="preserve">Predictive Analytics in Python</w:t>
                  </w:r>
                </w:p>
              </w:tc>
              <w:tc>
                <w:tcPr>
                  <w:tcW w:type="dxa" w:w="10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0"/>
                    <w:bottom w:type="dxa" w:w="20"/>
                    <w:right w:type="dxa" w:w="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C9A84C"/>
                      <w:sz w:val="16"/>
                      <w:szCs w:val="16"/>
                    </w:rPr>
                    <w:t xml:space="preserve">Nov 2021</w:t>
                  </w:r>
                </w:p>
              </w:tc>
            </w:tr>
          </w:tbl>
          <w:tbl>
            <w:tblPr>
              <w:tblW w:type="dxa" w:w="38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2800"/>
              <w:gridCol w:w="1000"/>
            </w:tblGrid>
            <w:tr>
              <w:tc>
                <w:tcPr>
                  <w:tcW w:type="dxa" w:w="2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0"/>
                    <w:bottom w:type="dxa" w:w="20"/>
                    <w:right w:type="dxa" w:w="4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3A4F6A"/>
                      <w:sz w:val="17"/>
                      <w:szCs w:val="17"/>
                    </w:rPr>
                    <w:t xml:space="preserve">Business Intelligence for Consultants</w:t>
                  </w:r>
                </w:p>
              </w:tc>
              <w:tc>
                <w:tcPr>
                  <w:tcW w:type="dxa" w:w="10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0"/>
                    <w:bottom w:type="dxa" w:w="20"/>
                    <w:right w:type="dxa" w:w="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C9A84C"/>
                      <w:sz w:val="16"/>
                      <w:szCs w:val="16"/>
                    </w:rPr>
                    <w:t xml:space="preserve">Oct 2021</w:t>
                  </w:r>
                </w:p>
              </w:tc>
            </w:tr>
          </w:tbl>
          <w:tbl>
            <w:tblPr>
              <w:tblW w:type="dxa" w:w="38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2800"/>
              <w:gridCol w:w="1000"/>
            </w:tblGrid>
            <w:tr>
              <w:tc>
                <w:tcPr>
                  <w:tcW w:type="dxa" w:w="2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0"/>
                    <w:bottom w:type="dxa" w:w="20"/>
                    <w:right w:type="dxa" w:w="4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3A4F6A"/>
                      <w:sz w:val="17"/>
                      <w:szCs w:val="17"/>
                    </w:rPr>
                    <w:t xml:space="preserve">Digital Transformation</w:t>
                  </w:r>
                </w:p>
              </w:tc>
              <w:tc>
                <w:tcPr>
                  <w:tcW w:type="dxa" w:w="10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0"/>
                    <w:bottom w:type="dxa" w:w="20"/>
                    <w:right w:type="dxa" w:w="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C9A84C"/>
                      <w:sz w:val="16"/>
                      <w:szCs w:val="16"/>
                    </w:rPr>
                    <w:t xml:space="preserve">Oct 2021</w:t>
                  </w:r>
                </w:p>
              </w:tc>
            </w:tr>
          </w:tbl>
          <w:tbl>
            <w:tblPr>
              <w:tblW w:type="dxa" w:w="38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2800"/>
              <w:gridCol w:w="1000"/>
            </w:tblGrid>
            <w:tr>
              <w:tc>
                <w:tcPr>
                  <w:tcW w:type="dxa" w:w="2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0"/>
                    <w:bottom w:type="dxa" w:w="20"/>
                    <w:right w:type="dxa" w:w="4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3A4F6A"/>
                      <w:sz w:val="17"/>
                      <w:szCs w:val="17"/>
                    </w:rPr>
                    <w:t xml:space="preserve">OBIEE &amp; OBIA Workshop</w:t>
                  </w:r>
                </w:p>
              </w:tc>
              <w:tc>
                <w:tcPr>
                  <w:tcW w:type="dxa" w:w="10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0"/>
                    <w:bottom w:type="dxa" w:w="20"/>
                    <w:right w:type="dxa" w:w="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C9A84C"/>
                      <w:sz w:val="16"/>
                      <w:szCs w:val="16"/>
                    </w:rPr>
                    <w:t xml:space="preserve">Jan 2012</w:t>
                  </w:r>
                </w:p>
              </w:tc>
            </w:tr>
          </w:tbl>
          <w:tbl>
            <w:tblPr>
              <w:tblW w:type="dxa" w:w="38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2800"/>
              <w:gridCol w:w="1000"/>
            </w:tblGrid>
            <w:tr>
              <w:tc>
                <w:tcPr>
                  <w:tcW w:type="dxa" w:w="2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0"/>
                    <w:bottom w:type="dxa" w:w="20"/>
                    <w:right w:type="dxa" w:w="4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3A4F6A"/>
                      <w:sz w:val="17"/>
                      <w:szCs w:val="17"/>
                    </w:rPr>
                    <w:t xml:space="preserve">Oracle 9i SQL, PL/SQL, Forms &amp; Reports</w:t>
                  </w:r>
                </w:p>
              </w:tc>
              <w:tc>
                <w:tcPr>
                  <w:tcW w:type="dxa" w:w="10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0"/>
                    <w:bottom w:type="dxa" w:w="20"/>
                    <w:right w:type="dxa" w:w="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C9A84C"/>
                      <w:sz w:val="16"/>
                      <w:szCs w:val="16"/>
                    </w:rPr>
                    <w:t xml:space="preserve">Mar 2008</w:t>
                  </w:r>
                </w:p>
              </w:tc>
            </w:tr>
          </w:tbl>
          <w:p/>
        </w:tc>
      </w:tr>
    </w:tbl>
    <w:p>
      <w:pPr>
        <w:spacing w:after="80" w:before="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A4F6A"/>
          <w:sz w:val="20"/>
          <w:szCs w:val="20"/>
        </w:rPr>
        <w:t xml:space="preserve"/>
      </w:r>
    </w:p>
    <w:p>
      <w:pPr>
        <w:pBdr>
          <w:bottom w:val="single" w:color="C9A84C" w:sz="8"/>
        </w:pBdr>
        <w:spacing w:after="40" w:before="40"/>
      </w:pPr>
    </w:p>
    <w:p>
      <w:pPr>
        <w:spacing w:after="0" w:before="60"/>
        <w:jc w:val="center"/>
      </w:pPr>
      <w:r>
        <w:rPr>
          <w:rFonts w:ascii="Calibri" w:cs="Calibri" w:eastAsia="Calibri" w:hAnsi="Calibri"/>
          <w:color w:val="6F869E"/>
          <w:sz w:val="15"/>
          <w:szCs w:val="15"/>
        </w:rPr>
        <w:t xml:space="preserve">Amr Sarhan  ·  BI Manager &amp; Data Analytics Advisor  ·  </w:t>
      </w:r>
      <w:r>
        <w:rPr>
          <w:rFonts w:ascii="Calibri" w:cs="Calibri" w:eastAsia="Calibri" w:hAnsi="Calibri"/>
          <w:color w:val="C9A84C"/>
          <w:sz w:val="15"/>
          <w:szCs w:val="15"/>
        </w:rPr>
        <w:t xml:space="preserve">amrsarhan.com  ·  Riyadh, Saudi Arabia</w:t>
      </w:r>
    </w:p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A4F6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Amr Sarhan — CV</dc:title>
  <dc:creator>Amr Sarhan</dc:creator>
  <cp:keywords>BI Manager, Data Architecture, SAP BO, Tableau, Power BI, OBIEE, Data Warehouse, Saudi Arabia</cp:keywords>
  <dc:description>Business Intelligence Manager &amp; Data Analytics Advisor</dc:description>
  <cp:lastModifiedBy>Un-named</cp:lastModifiedBy>
  <cp:revision>1</cp:revision>
  <dcterms:created xsi:type="dcterms:W3CDTF">2026-06-17T22:34:35.059Z</dcterms:created>
  <dcterms:modified xsi:type="dcterms:W3CDTF">2026-06-17T22:34:35.059Z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